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76" w:lineRule="auto"/>
        <w:rPr/>
      </w:pPr>
      <w:r w:rsidDel="00000000" w:rsidR="00000000" w:rsidRPr="00000000">
        <w:rPr>
          <w:rtl w:val="0"/>
        </w:rPr>
      </w:r>
    </w:p>
    <w:tbl>
      <w:tblPr>
        <w:tblStyle w:val="Table1"/>
        <w:tblW w:w="9606.0" w:type="dxa"/>
        <w:jc w:val="left"/>
        <w:tblInd w:w="-115.0" w:type="dxa"/>
        <w:tblLayout w:type="fixed"/>
        <w:tblLook w:val="0400"/>
      </w:tblPr>
      <w:tblGrid>
        <w:gridCol w:w="3936"/>
        <w:gridCol w:w="5670"/>
        <w:tblGridChange w:id="0">
          <w:tblGrid>
            <w:gridCol w:w="3936"/>
            <w:gridCol w:w="5670"/>
          </w:tblGrid>
        </w:tblGridChange>
      </w:tblGrid>
      <w:tr>
        <w:trPr>
          <w:cantSplit w:val="0"/>
          <w:tblHeader w:val="0"/>
        </w:trPr>
        <w:tc>
          <w:tcPr/>
          <w:p w:rsidR="00000000" w:rsidDel="00000000" w:rsidP="00000000" w:rsidRDefault="00000000" w:rsidRPr="00000000" w14:paraId="00000002">
            <w:pPr>
              <w:spacing w:after="200" w:line="276"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CÔNG TY CỔ PHẦN……</w:t>
            </w:r>
          </w:p>
          <w:p w:rsidR="00000000" w:rsidDel="00000000" w:rsidP="00000000" w:rsidRDefault="00000000" w:rsidRPr="00000000" w14:paraId="00000003">
            <w:pPr>
              <w:spacing w:after="200" w:line="276"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rtl w:val="0"/>
              </w:rPr>
              <w:t xml:space="preserve">      Số: 02/QC–LĐ/2025</w:t>
            </w:r>
            <w:r w:rsidDel="00000000" w:rsidR="00000000" w:rsidRPr="00000000">
              <w:rPr>
                <w:rtl w:val="0"/>
              </w:rPr>
            </w:r>
          </w:p>
        </w:tc>
        <w:tc>
          <w:tcPr/>
          <w:p w:rsidR="00000000" w:rsidDel="00000000" w:rsidP="00000000" w:rsidRDefault="00000000" w:rsidRPr="00000000" w14:paraId="00000004">
            <w:pPr>
              <w:spacing w:after="200" w:line="276" w:lineRule="auto"/>
              <w:jc w:val="center"/>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 </w:t>
            </w:r>
            <w:r w:rsidDel="00000000" w:rsidR="00000000" w:rsidRPr="00000000">
              <w:rPr>
                <w:rFonts w:ascii="Times New Roman" w:cs="Times New Roman" w:eastAsia="Times New Roman" w:hAnsi="Times New Roman"/>
                <w:b w:val="1"/>
                <w:bCs w:val="1"/>
                <w:sz w:val="26"/>
                <w:szCs w:val="26"/>
                <w:u w:val="single"/>
                <w:rtl w:val="0"/>
              </w:rPr>
              <w:t xml:space="preserve">Độc lập - Tự do - Hạnh phúc</w:t>
            </w:r>
            <w:r w:rsidDel="00000000" w:rsidR="00000000" w:rsidRPr="00000000">
              <w:rPr>
                <w:rtl w:val="0"/>
              </w:rPr>
            </w:r>
          </w:p>
          <w:p w:rsidR="00000000" w:rsidDel="00000000" w:rsidP="00000000" w:rsidRDefault="00000000" w:rsidRPr="00000000" w14:paraId="00000005">
            <w:pPr>
              <w:spacing w:after="200" w:line="276" w:lineRule="auto"/>
              <w:jc w:val="right"/>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ngày ….tháng…. năm …..</w:t>
            </w:r>
          </w:p>
        </w:tc>
      </w:tr>
      <w:tr>
        <w:trPr>
          <w:cantSplit w:val="0"/>
          <w:tblHeader w:val="0"/>
        </w:trPr>
        <w:tc>
          <w:tcPr/>
          <w:p w:rsidR="00000000" w:rsidDel="00000000" w:rsidP="00000000" w:rsidRDefault="00000000" w:rsidRPr="00000000" w14:paraId="00000006">
            <w:pPr>
              <w:spacing w:after="200" w:line="276" w:lineRule="auto"/>
              <w:rPr>
                <w:rFonts w:ascii="Times New Roman" w:cs="Times New Roman" w:eastAsia="Times New Roman" w:hAnsi="Times New Roman"/>
                <w:b w:val="1"/>
                <w:bCs w:val="1"/>
                <w:sz w:val="26"/>
                <w:szCs w:val="26"/>
              </w:rPr>
            </w:pPr>
            <w:r w:rsidDel="00000000" w:rsidR="00000000" w:rsidRPr="00000000">
              <w:rPr>
                <w:rtl w:val="0"/>
              </w:rPr>
            </w:r>
          </w:p>
        </w:tc>
        <w:tc>
          <w:tcPr/>
          <w:p w:rsidR="00000000" w:rsidDel="00000000" w:rsidP="00000000" w:rsidRDefault="00000000" w:rsidRPr="00000000" w14:paraId="00000007">
            <w:pPr>
              <w:spacing w:after="200" w:line="276" w:lineRule="auto"/>
              <w:jc w:val="center"/>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08">
      <w:pPr>
        <w:spacing w:after="200" w:line="276"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QUY CHẾ </w:t>
      </w:r>
    </w:p>
    <w:p w:rsidR="00000000" w:rsidDel="00000000" w:rsidP="00000000" w:rsidRDefault="00000000" w:rsidRPr="00000000" w14:paraId="00000009">
      <w:pPr>
        <w:spacing w:after="200" w:line="276" w:lineRule="auto"/>
        <w:jc w:val="center"/>
        <w:rPr>
          <w:rFonts w:ascii="Times New Roman" w:cs="Times New Roman" w:eastAsia="Times New Roman" w:hAnsi="Times New Roman"/>
          <w:b w:val="1"/>
          <w:bCs w:val="1"/>
          <w:sz w:val="26"/>
          <w:szCs w:val="26"/>
        </w:rPr>
      </w:pPr>
      <w:bookmarkStart w:colFirst="0" w:colLast="0" w:name="_gjdgxs" w:id="0"/>
      <w:bookmarkEnd w:id="0"/>
      <w:r w:rsidDel="00000000" w:rsidR="00000000" w:rsidRPr="00000000">
        <w:rPr>
          <w:rFonts w:ascii="Times New Roman" w:cs="Times New Roman" w:eastAsia="Times New Roman" w:hAnsi="Times New Roman"/>
          <w:b w:val="1"/>
          <w:bCs w:val="1"/>
          <w:sz w:val="26"/>
          <w:szCs w:val="26"/>
          <w:rtl w:val="0"/>
        </w:rPr>
        <w:t xml:space="preserve">TIỀN LƯƠNG, TIỀN THƯỞNG CHO BỘ PHẬN SẢN XUẤT</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 MỤC ĐÍCH</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Quy chế này được ban hành nhằm đảm bảo việc chi trả tiền lương, thưởng năng suất, phụ cấp và các chế độ phúc lợi cho bộ phận Sản xuất – Kỹ thuật – Bảo trì được minh bạch, công bằng, khuyến khích năng suất lao động và tuân thủ quy định pháp luật hiện hành.</w:t>
      </w:r>
    </w:p>
    <w:p w:rsidR="00000000" w:rsidDel="00000000" w:rsidP="00000000" w:rsidRDefault="00000000" w:rsidRPr="00000000" w14:paraId="0000000D">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 CĂN CỨ PHÁP LÝ</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Căn cứ Bộ luật Lao động số 45/2019/QH14 được Quốc hội nước Cộng Hòa Xã Hội Chủ Nghĩa Việt Nam thông qua ngày 20/11/2019, có hiệu lực thi hành từ ngày 01/01/2021.</w:t>
        <w:br w:type="textWrapping"/>
        <w:t xml:space="preserve">- Căn cứ Nghị định số 145/2020/NĐ-CP ngày 14/12/2020 của Chính phủ quy định chi tiết và hướng dẫn thi hành một số điều của Bộ luật Lao động.</w:t>
        <w:br w:type="textWrapping"/>
        <w:t xml:space="preserve">- Căn cứ Nghị định số 74/2024/NĐ-CP ngày 26/06/2024 của Chính phủ quy định mức lương tối thiểu vùng.</w:t>
        <w:br w:type="textWrapping"/>
        <w:t xml:space="preserve">- Căn cứ Luật Bảo hiểm xã hội số 58/2014/QH13 và Nghị định số 115/2015/NĐ-CP hướng dẫn thi hành.</w:t>
        <w:br w:type="textWrapping"/>
        <w:t xml:space="preserve">- Căn cứ Thông tư số 06/2021/TT-BLĐTBXH hướng dẫn chi tiết về tiền lương và các khoản bổ sung khác.</w:t>
        <w:br w:type="textWrapping"/>
        <w:t xml:space="preserve">- Căn cứ Điều lệ tổ chức và hoạt động của Công ty ..................................................</w:t>
      </w:r>
    </w:p>
    <w:p w:rsidR="00000000" w:rsidDel="00000000" w:rsidP="00000000" w:rsidRDefault="00000000" w:rsidRPr="00000000" w14:paraId="00000010">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III. PHẠM VI VÀ ĐỐI TƯỢNG ÁP DỤNG</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Áp dụng cho toàn bộ nhân sự thuộc Bộ phận Sản xuất – Kỹ thuật – Bảo trì, bao gồm: Trưởng bộ phận sản xuất, Kỹ sư kỹ thuật, Tổ trưởng sản xuất, Nhân viên bảo trì và Công nhân sản xuất.</w:t>
      </w:r>
    </w:p>
    <w:p w:rsidR="00000000" w:rsidDel="00000000" w:rsidP="00000000" w:rsidRDefault="00000000" w:rsidRPr="00000000" w14:paraId="00000013">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8">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IV. CẤU TRÚC TIỀN LƯƠNG</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Cấu trúc tiền lương bao gồm: Lương cơ bản, thưởng năng suất theo % KPI đạt được, và các khoản phụ cấp cố định.</w:t>
      </w:r>
    </w:p>
    <w:tbl>
      <w:tblPr>
        <w:tblStyle w:val="Table2"/>
        <w:tblW w:w="91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10"/>
        <w:gridCol w:w="1710"/>
        <w:gridCol w:w="1125"/>
        <w:gridCol w:w="1515"/>
        <w:gridCol w:w="1290"/>
        <w:gridCol w:w="2070"/>
        <w:tblGridChange w:id="0">
          <w:tblGrid>
            <w:gridCol w:w="1410"/>
            <w:gridCol w:w="1710"/>
            <w:gridCol w:w="1125"/>
            <w:gridCol w:w="1515"/>
            <w:gridCol w:w="1290"/>
            <w:gridCol w:w="2070"/>
          </w:tblGrid>
        </w:tblGridChange>
      </w:tblGrid>
      <w:tr>
        <w:trPr>
          <w:cantSplit w:val="0"/>
          <w:trHeight w:val="435" w:hRule="atLeast"/>
          <w:tblHeader w:val="0"/>
        </w:trPr>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Vị trí</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Lương cơ bản (VNĐ/tháng)</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KPI năng suất (%)</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Thưởng năng suất (VNĐ)</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Phụ cấp (VNĐ)</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Ghi chú</w:t>
            </w:r>
          </w:p>
        </w:tc>
      </w:tr>
      <w:tr>
        <w:trPr>
          <w:cantSplit w:val="0"/>
          <w:trHeight w:val="435" w:hRule="atLeast"/>
          <w:tblHeader w:val="0"/>
        </w:trPr>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Trưởng bộ phận sản xuất</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18.000.000 – 22.000.000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5">
            <w:pPr>
              <w:jc w:val="center"/>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≥100%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4.000.000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1.000.000 điện thoại</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Đạt 100% sản lượng &amp; không lỗi kỹ thuật</w:t>
            </w:r>
          </w:p>
        </w:tc>
      </w:tr>
      <w:tr>
        <w:trPr>
          <w:cantSplit w:val="0"/>
          <w:trHeight w:val="435" w:hRule="atLeast"/>
          <w:tblHeader w:val="0"/>
        </w:trPr>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Kỹ sư kỹ thuật</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14.000.000 – 17.000.000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B">
            <w:pPr>
              <w:jc w:val="center"/>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≥95%</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3.000.000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800.000 xăng xe</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Không có sự cố máy móc nghiêm trọng</w:t>
            </w:r>
          </w:p>
        </w:tc>
      </w:tr>
      <w:tr>
        <w:trPr>
          <w:cantSplit w:val="0"/>
          <w:trHeight w:val="435" w:hRule="atLeast"/>
          <w:tblHeader w:val="0"/>
        </w:trPr>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 trưởng sản xuất</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12.000.000 – 14.000.000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1">
            <w:pPr>
              <w:jc w:val="center"/>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≥95%</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2.000.000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500.000 ăn ca</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Quản lý 15–20 công nhân</w:t>
            </w:r>
          </w:p>
        </w:tc>
      </w:tr>
      <w:tr>
        <w:trPr>
          <w:cantSplit w:val="0"/>
          <w:trHeight w:val="435" w:hRule="atLeast"/>
          <w:tblHeader w:val="0"/>
        </w:trPr>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Nhân viên bảo trì</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10.000.000 – 12.000.000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7">
            <w:pPr>
              <w:jc w:val="center"/>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≥90%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2.000.000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500.000 xăng xe</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Không để dừng máy quá 30 phút/lần</w:t>
            </w:r>
          </w:p>
        </w:tc>
      </w:tr>
      <w:tr>
        <w:trPr>
          <w:cantSplit w:val="0"/>
          <w:trHeight w:val="435" w:hRule="atLeast"/>
          <w:tblHeader w:val="0"/>
        </w:trPr>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Công nhân sản xuất</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8.000.000 – 10.000.000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D">
            <w:pPr>
              <w:jc w:val="center"/>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≥90%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1.500.000</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3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400.000 ăn ca</w:t>
            </w:r>
          </w:p>
        </w:tc>
        <w:tc>
          <w:tcPr>
            <w:tcBorders>
              <w:top w:color="bfbfbf" w:space="0" w:sz="6" w:val="single"/>
              <w:left w:color="bfbfbf" w:space="0" w:sz="6" w:val="single"/>
              <w:bottom w:color="bfbfbf" w:space="0" w:sz="6" w:val="single"/>
              <w:right w:color="bfbfbf" w:space="0" w:sz="6" w:val="single"/>
            </w:tcBorders>
            <w:tcMar>
              <w:top w:w="0.0" w:type="dxa"/>
              <w:left w:w="80.0" w:type="dxa"/>
              <w:bottom w:w="0.0" w:type="dxa"/>
              <w:right w:w="80.0" w:type="dxa"/>
            </w:tcMar>
            <w:vAlign w:val="center"/>
          </w:tcPr>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Tính theo sản lượng hoặc ca làm việc</w:t>
            </w:r>
          </w:p>
        </w:tc>
      </w:tr>
    </w:tbl>
    <w:p w:rsidR="00000000" w:rsidDel="00000000" w:rsidP="00000000" w:rsidRDefault="00000000" w:rsidRPr="00000000" w14:paraId="00000041">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2">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 CHÍNH SÁCH THƯỞNG – PHẠT – AN TOÀN LAO ĐỘNG</w:t>
      </w:r>
    </w:p>
    <w:p w:rsidR="00000000" w:rsidDel="00000000" w:rsidP="00000000" w:rsidRDefault="00000000" w:rsidRPr="00000000" w14:paraId="0000004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Thưởng năng suất được chi trả theo mức % KPI đạt được, tính theo tháng, chi trả vào kỳ lương kế tiếp.</w:t>
        <w:br w:type="textWrapping"/>
        <w:t xml:space="preserve">2. Nếu KPI đạt dưới 70%, nhân viên bị giảm 10–20% tổng thu nhập tháng.</w:t>
        <w:br w:type="textWrapping"/>
        <w:t xml:space="preserve">3. Vi phạm nội quy an toàn lao động hoặc gây thiệt hại máy móc, nguyên vật liệu sẽ bị trừ tối đa 30% tiền thưởng tháng.</w:t>
        <w:br w:type="textWrapping"/>
        <w:t xml:space="preserve">4. Nhân viên có sáng kiến cải tiến kỹ thuật, giảm chi phí hoặc tăng năng suất được thưởng thêm từ 2.000.000 – 10.000.000 VNĐ tùy theo giá trị áp dụng.</w:t>
        <w:br w:type="textWrapping"/>
        <w:t xml:space="preserve">5. Thưởng ca làm việc liên tục không vi phạm an toàn hoặc lỗi sản xuất (mức thưởng 500.000 – 1.000.000 VNĐ/người/tháng).</w:t>
      </w:r>
    </w:p>
    <w:p w:rsidR="00000000" w:rsidDel="00000000" w:rsidP="00000000" w:rsidRDefault="00000000" w:rsidRPr="00000000" w14:paraId="0000004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 CHÍNH SÁCH BẢO HIỂM VÀ THUẾ</w:t>
      </w:r>
    </w:p>
    <w:p w:rsidR="00000000" w:rsidDel="00000000" w:rsidP="00000000" w:rsidRDefault="00000000" w:rsidRPr="00000000" w14:paraId="0000004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Tiền lương làm căn cứ đóng bảo hiểm xã hội, bảo hiểm y tế và bảo hiểm thất nghiệp được xác định theo Điều 89 Luật BHXH 2014, Điều 21 Nghị định 145/2020/NĐ-CP và Điều 17 Thông tư 06/2021/TT-BLĐTBXH.</w:t>
        <w:br w:type="textWrapping"/>
        <w:t xml:space="preserve">2. Công ty khấu trừ và nộp thuế thu nhập cá nhân theo Luật Thuế TNCN hiện hành.</w:t>
      </w:r>
    </w:p>
    <w:p w:rsidR="00000000" w:rsidDel="00000000" w:rsidP="00000000" w:rsidRDefault="00000000" w:rsidRPr="00000000" w14:paraId="0000004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 PHÚC LỢI VÀ CHẾ ĐỘ CA KÍP</w:t>
      </w:r>
    </w:p>
    <w:p w:rsidR="00000000" w:rsidDel="00000000" w:rsidP="00000000" w:rsidRDefault="00000000" w:rsidRPr="00000000" w14:paraId="0000004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Nhân viên được hưởng đầy đủ các chế độ nghỉ phép, nghỉ lễ, trợ cấp ốm đau, thai sản theo Bộ luật Lao động 2019.</w:t>
        <w:br w:type="textWrapping"/>
        <w:t xml:space="preserve">2. Hỗ trợ tiền ăn ca, phụ cấp độc hại (nếu có) theo quy định nội bộ.</w:t>
        <w:br w:type="textWrapping"/>
        <w:t xml:space="preserve">3. Làm thêm giờ, tăng ca được tính hệ số lương theo quy định tại Điều 98 Bộ luật Lao động 2019.</w:t>
        <w:br w:type="textWrapping"/>
        <w:t xml:space="preserve">4. Nhân viên đạt thành tích xuất sắc trong tháng/quý được khen thưởng và vinh danh trong toàn công ty.</w:t>
      </w:r>
    </w:p>
    <w:p w:rsidR="00000000" w:rsidDel="00000000" w:rsidP="00000000" w:rsidRDefault="00000000" w:rsidRPr="00000000" w14:paraId="0000004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VIII. HIỆU LỰC THI HÀNH</w:t>
      </w:r>
    </w:p>
    <w:p w:rsidR="00000000" w:rsidDel="00000000" w:rsidP="00000000" w:rsidRDefault="00000000" w:rsidRPr="00000000" w14:paraId="0000004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Quy chế này có hiệu lực kể từ ngày ký. Phòng Hành chính – Nhân sự, Bộ phận Sản xuất, Kỹ thuật và Bảo trì cùng các cá nhân liên quan có trách nhiệm thực hiện nghiêm túc. Các quy định trước đây trái với quy chế này đều bãi bỏ.</w:t>
      </w:r>
    </w:p>
    <w:p w:rsidR="00000000" w:rsidDel="00000000" w:rsidP="00000000" w:rsidRDefault="00000000" w:rsidRPr="00000000" w14:paraId="0000004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ĐẠI DIỆN CÔNG TY</w:t>
      </w:r>
    </w:p>
    <w:p w:rsidR="00000000" w:rsidDel="00000000" w:rsidP="00000000" w:rsidRDefault="00000000" w:rsidRPr="00000000" w14:paraId="0000004F">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GIÁM ĐỐC</w:t>
      </w:r>
    </w:p>
    <w:p w:rsidR="00000000" w:rsidDel="00000000" w:rsidP="00000000" w:rsidRDefault="00000000" w:rsidRPr="00000000" w14:paraId="00000050">
      <w:pPr>
        <w:jc w:val="right"/>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(Ký, ghi rõ họ tên, đóng dấu)</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jc w:val="both"/>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