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76" w:lineRule="auto"/>
        <w:rPr/>
      </w:pPr>
      <w:r w:rsidDel="00000000" w:rsidR="00000000" w:rsidRPr="00000000">
        <w:rPr>
          <w:rtl w:val="0"/>
        </w:rPr>
      </w:r>
    </w:p>
    <w:tbl>
      <w:tblPr>
        <w:tblStyle w:val="Table1"/>
        <w:tblW w:w="9606.0" w:type="dxa"/>
        <w:jc w:val="left"/>
        <w:tblInd w:w="-115.0" w:type="dxa"/>
        <w:tblLayout w:type="fixed"/>
        <w:tblLook w:val="0400"/>
      </w:tblPr>
      <w:tblGrid>
        <w:gridCol w:w="3936"/>
        <w:gridCol w:w="5670"/>
        <w:tblGridChange w:id="0">
          <w:tblGrid>
            <w:gridCol w:w="3936"/>
            <w:gridCol w:w="5670"/>
          </w:tblGrid>
        </w:tblGridChange>
      </w:tblGrid>
      <w:tr>
        <w:trPr>
          <w:cantSplit w:val="0"/>
          <w:tblHeader w:val="0"/>
        </w:trPr>
        <w:tc>
          <w:tcPr/>
          <w:p w:rsidR="00000000" w:rsidDel="00000000" w:rsidP="00000000" w:rsidRDefault="00000000" w:rsidRPr="00000000" w14:paraId="00000002">
            <w:pPr>
              <w:spacing w:after="200" w:line="276"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CÔNG TY CỔ PHẦN……</w:t>
            </w:r>
          </w:p>
          <w:p w:rsidR="00000000" w:rsidDel="00000000" w:rsidP="00000000" w:rsidRDefault="00000000" w:rsidRPr="00000000" w14:paraId="00000003">
            <w:pPr>
              <w:spacing w:after="200" w:line="276"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rtl w:val="0"/>
              </w:rPr>
              <w:t xml:space="preserve">      Số: 02/QC–LĐ/2025</w:t>
            </w:r>
            <w:r w:rsidDel="00000000" w:rsidR="00000000" w:rsidRPr="00000000">
              <w:rPr>
                <w:rtl w:val="0"/>
              </w:rPr>
            </w:r>
          </w:p>
        </w:tc>
        <w:tc>
          <w:tcPr/>
          <w:p w:rsidR="00000000" w:rsidDel="00000000" w:rsidP="00000000" w:rsidRDefault="00000000" w:rsidRPr="00000000" w14:paraId="00000004">
            <w:pPr>
              <w:spacing w:after="200" w:line="276" w:lineRule="auto"/>
              <w:jc w:val="center"/>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 HÒA XÃ HỘI CHỦ NGHĨA VIỆT NAM </w:t>
            </w:r>
            <w:r w:rsidDel="00000000" w:rsidR="00000000" w:rsidRPr="00000000">
              <w:rPr>
                <w:rFonts w:ascii="Times New Roman" w:cs="Times New Roman" w:eastAsia="Times New Roman" w:hAnsi="Times New Roman"/>
                <w:b w:val="1"/>
                <w:bCs w:val="1"/>
                <w:sz w:val="26"/>
                <w:szCs w:val="26"/>
                <w:u w:val="single"/>
                <w:rtl w:val="0"/>
              </w:rPr>
              <w:t xml:space="preserve">Độc lập - Tự do - Hạnh phúc</w:t>
            </w:r>
            <w:r w:rsidDel="00000000" w:rsidR="00000000" w:rsidRPr="00000000">
              <w:rPr>
                <w:rtl w:val="0"/>
              </w:rPr>
            </w:r>
          </w:p>
          <w:p w:rsidR="00000000" w:rsidDel="00000000" w:rsidP="00000000" w:rsidRDefault="00000000" w:rsidRPr="00000000" w14:paraId="00000005">
            <w:pPr>
              <w:spacing w:after="200" w:line="276" w:lineRule="auto"/>
              <w:jc w:val="right"/>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ngày ….tháng…. năm …..</w:t>
            </w:r>
          </w:p>
        </w:tc>
      </w:tr>
      <w:tr>
        <w:trPr>
          <w:cantSplit w:val="0"/>
          <w:tblHeader w:val="0"/>
        </w:trPr>
        <w:tc>
          <w:tcPr/>
          <w:p w:rsidR="00000000" w:rsidDel="00000000" w:rsidP="00000000" w:rsidRDefault="00000000" w:rsidRPr="00000000" w14:paraId="00000006">
            <w:pPr>
              <w:spacing w:after="200" w:line="276" w:lineRule="auto"/>
              <w:rPr>
                <w:rFonts w:ascii="Times New Roman" w:cs="Times New Roman" w:eastAsia="Times New Roman" w:hAnsi="Times New Roman"/>
                <w:b w:val="1"/>
                <w:bCs w:val="1"/>
                <w:sz w:val="26"/>
                <w:szCs w:val="26"/>
              </w:rPr>
            </w:pPr>
            <w:r w:rsidDel="00000000" w:rsidR="00000000" w:rsidRPr="00000000">
              <w:rPr>
                <w:rtl w:val="0"/>
              </w:rPr>
            </w:r>
          </w:p>
        </w:tc>
        <w:tc>
          <w:tcPr/>
          <w:p w:rsidR="00000000" w:rsidDel="00000000" w:rsidP="00000000" w:rsidRDefault="00000000" w:rsidRPr="00000000" w14:paraId="00000007">
            <w:pPr>
              <w:spacing w:after="200" w:line="276" w:lineRule="auto"/>
              <w:jc w:val="center"/>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008">
      <w:pPr>
        <w:spacing w:after="20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QUY CHẾ </w:t>
      </w:r>
    </w:p>
    <w:p w:rsidR="00000000" w:rsidDel="00000000" w:rsidP="00000000" w:rsidRDefault="00000000" w:rsidRPr="00000000" w14:paraId="00000009">
      <w:pPr>
        <w:spacing w:after="200" w:line="276" w:lineRule="auto"/>
        <w:jc w:val="center"/>
        <w:rPr>
          <w:rFonts w:ascii="Times New Roman" w:cs="Times New Roman" w:eastAsia="Times New Roman" w:hAnsi="Times New Roman"/>
          <w:b w:val="1"/>
          <w:bCs w:val="1"/>
          <w:sz w:val="26"/>
          <w:szCs w:val="26"/>
        </w:rPr>
      </w:pPr>
      <w:bookmarkStart w:colFirst="0" w:colLast="0" w:name="_gjdgxs" w:id="0"/>
      <w:bookmarkEnd w:id="0"/>
      <w:r w:rsidDel="00000000" w:rsidR="00000000" w:rsidRPr="00000000">
        <w:rPr>
          <w:rFonts w:ascii="Times New Roman" w:cs="Times New Roman" w:eastAsia="Times New Roman" w:hAnsi="Times New Roman"/>
          <w:b w:val="1"/>
          <w:bCs w:val="1"/>
          <w:sz w:val="26"/>
          <w:szCs w:val="26"/>
          <w:rtl w:val="0"/>
        </w:rPr>
        <w:t xml:space="preserve">TIỀN LƯƠNG, TIỀN THƯỞNG CHO BỘ PHẬN HCNS, KẾ TOÁN</w:t>
      </w:r>
    </w:p>
    <w:p w:rsidR="00000000" w:rsidDel="00000000" w:rsidP="00000000" w:rsidRDefault="00000000" w:rsidRPr="00000000" w14:paraId="0000000A">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 MỤC ĐÍCH</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Quy chế này được ban hành nhằm quy định cụ thể cơ cấu lương, thưởng, phụ cấp và chính sách phúc lợi cho bộ phận Nhân sự – Hành chính – Kế toán. Mục tiêu đảm bảo tính minh bạch, công bằng, tạo động lực làm việc và tuân thủ đúng quy định pháp luật hiện hành.</w:t>
      </w:r>
    </w:p>
    <w:p w:rsidR="00000000" w:rsidDel="00000000" w:rsidP="00000000" w:rsidRDefault="00000000" w:rsidRPr="00000000" w14:paraId="0000000D">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 CĂN CỨ PHÁP LÝ</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Căn cứ Bộ luật Lao động số 45/2019/QH14 được Quốc hội nước Cộng Hòa Xã Hội Chủ Nghĩa Việt Nam thông qua ngày 20/11/2019, có hiệu lực thi hành từ ngày 01/01/2021.</w:t>
        <w:br w:type="textWrapping"/>
        <w:t xml:space="preserve">- Căn cứ Nghị định số 145/2020/NĐ-CP ngày 14/12/2020 của Chính phủ quy định chi tiết và hướng dẫn thi hành một số điều của Bộ luật Lao động.</w:t>
        <w:br w:type="textWrapping"/>
        <w:t xml:space="preserve">- Căn cứ Nghị định số 74/2024/NĐ-CP ngày 26/06/2024 của Chính phủ quy định mức lương tối thiểu vùng.</w:t>
        <w:br w:type="textWrapping"/>
        <w:t xml:space="preserve">- Căn cứ Luật Bảo hiểm xã hội số 58/2014/QH13 và Nghị định số 115/2015/NĐ-CP hướng dẫn thi hành.</w:t>
        <w:br w:type="textWrapping"/>
        <w:t xml:space="preserve">- Căn cứ Thông tư số 06/2021/TT-BLĐTBXH hướng dẫn chi tiết về tiền lương và các khoản bổ sung khác.</w:t>
        <w:br w:type="textWrapping"/>
        <w:t xml:space="preserve">- Căn cứ Điều lệ tổ chức và hoạt động của Công ty ..................................................</w:t>
      </w:r>
    </w:p>
    <w:p w:rsidR="00000000" w:rsidDel="00000000" w:rsidP="00000000" w:rsidRDefault="00000000" w:rsidRPr="00000000" w14:paraId="00000010">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III. PHẠM VI VÀ ĐỐI TƯỢNG ÁP DỤNG</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Áp dụng cho toàn bộ nhân sự thuộc Bộ phận Nhân sự – Hành chính – Kế toán, bao gồm: Trưởng phòng HCNS, Nhân viên Hành chính, Nhân viên Nhân sự, Kế toán tổng hợp và Kế toán viên.</w:t>
      </w:r>
    </w:p>
    <w:p w:rsidR="00000000" w:rsidDel="00000000" w:rsidP="00000000" w:rsidRDefault="00000000" w:rsidRPr="00000000" w14:paraId="00000013">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IV. CẤU TRÚC TIỀN LƯƠNG</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Cấu trúc lương bao gồm: Lương cơ bản, thưởng hiệu suất theo % KPI đạt được, và các khoản phụ cấp cố định.</w:t>
      </w:r>
    </w:p>
    <w:tbl>
      <w:tblPr>
        <w:tblStyle w:val="Table2"/>
        <w:tblW w:w="91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20"/>
        <w:gridCol w:w="1740"/>
        <w:gridCol w:w="945"/>
        <w:gridCol w:w="1515"/>
        <w:gridCol w:w="1305"/>
        <w:gridCol w:w="2280"/>
        <w:tblGridChange w:id="0">
          <w:tblGrid>
            <w:gridCol w:w="1320"/>
            <w:gridCol w:w="1740"/>
            <w:gridCol w:w="945"/>
            <w:gridCol w:w="1515"/>
            <w:gridCol w:w="1305"/>
            <w:gridCol w:w="2280"/>
          </w:tblGrid>
        </w:tblGridChange>
      </w:tblGrid>
      <w:tr>
        <w:trPr>
          <w:cantSplit w:val="0"/>
          <w:trHeight w:val="435" w:hRule="atLeast"/>
          <w:tblHeader w:val="0"/>
        </w:trPr>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Vị trí</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Lương cơ bản (VNĐ/tháng)</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Mức KPI (%)</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Thưởng hiệu suất (VNĐ)</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Phụ cấp (VNĐ)</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Ghi chú</w:t>
            </w:r>
          </w:p>
        </w:tc>
      </w:tr>
      <w:tr>
        <w:trPr>
          <w:cantSplit w:val="0"/>
          <w:trHeight w:val="435" w:hRule="atLeast"/>
          <w:tblHeader w:val="0"/>
        </w:trPr>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Trưởng phòng HCNS</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18.000.000 – 22.000.000</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≥100%</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4.000.000</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1.000.000 điện thoại</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Đạt 100% KPI &amp; không vi phạm kỷ luật</w:t>
            </w:r>
          </w:p>
        </w:tc>
      </w:tr>
      <w:tr>
        <w:trPr>
          <w:cantSplit w:val="0"/>
          <w:trHeight w:val="435" w:hRule="atLeast"/>
          <w:tblHeader w:val="0"/>
        </w:trPr>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Nhân viên Hành chính</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9.000.000 – 11.000.000</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≥90%</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2.000.000</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500.000 ăn trưa</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KPI gồm chấm công, hồ sơ, hành chính nội bộ</w:t>
            </w:r>
          </w:p>
        </w:tc>
      </w:tr>
      <w:tr>
        <w:trPr>
          <w:cantSplit w:val="0"/>
          <w:trHeight w:val="435" w:hRule="atLeast"/>
          <w:tblHeader w:val="0"/>
        </w:trPr>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Nhân viên Nhân sự</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10.000.000 – 12.000.000</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≥95%</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2.000.000</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500.000 điện thoại</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KPI gồm tuyển dụng &amp; tuân thủ quy trình</w:t>
            </w:r>
          </w:p>
        </w:tc>
      </w:tr>
      <w:tr>
        <w:trPr>
          <w:cantSplit w:val="0"/>
          <w:trHeight w:val="435" w:hRule="atLeast"/>
          <w:tblHeader w:val="0"/>
        </w:trPr>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Kế toán tổng hợp</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12.000.000 – 15.000.000</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≥100%</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3.000.000</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500.000 xăng xe</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KPI gồm báo cáo đúng hạn, không sai lệch</w:t>
            </w:r>
          </w:p>
        </w:tc>
      </w:tr>
      <w:tr>
        <w:trPr>
          <w:cantSplit w:val="0"/>
          <w:trHeight w:val="435" w:hRule="atLeast"/>
          <w:tblHeader w:val="0"/>
        </w:trPr>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Kế toán viên</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9.000.000 – 11.000.000</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≥90%</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2.000.000</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500.000 ăn trưa</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Báo cáo &amp; chứng từ đầy đủ, đúng thời gian</w:t>
            </w:r>
          </w:p>
        </w:tc>
      </w:tr>
    </w:tbl>
    <w:p w:rsidR="00000000" w:rsidDel="00000000" w:rsidP="00000000" w:rsidRDefault="00000000" w:rsidRPr="00000000" w14:paraId="00000041">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 CHÍNH SÁCH THƯỞNG – PHẠT</w:t>
      </w:r>
    </w:p>
    <w:p w:rsidR="00000000" w:rsidDel="00000000" w:rsidP="00000000" w:rsidRDefault="00000000" w:rsidRPr="00000000" w14:paraId="000000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Thưởng hiệu suất được chi trả theo mức % KPI đạt được, tính theo từng tháng, chi trả vào kỳ lương kế tiếp.</w:t>
        <w:br w:type="textWrapping"/>
        <w:t xml:space="preserve">2. Nếu KPI đạt dưới 70%, nhân viên bị giảm 15% tổng thu nhập tháng.</w:t>
        <w:br w:type="textWrapping"/>
        <w:t xml:space="preserve">3. Nhân viên vi phạm nội quy lao động, quy chế tài chính hoặc sai sót kế toán gây thiệt hại sẽ bị trừ tối đa 30% tiền thưởng tháng.</w:t>
        <w:br w:type="textWrapping"/>
        <w:t xml:space="preserve">4. Thưởng quý cho cá nhân/bộ phận có thành tích nổi bật do Giám đốc phê duyệt, mức thưởng từ 3.000.000 – 5.000.000 VNĐ.</w:t>
      </w:r>
    </w:p>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 CHÍNH SÁCH BẢO HIỂM VÀ THUẾ</w:t>
      </w:r>
    </w:p>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Tiền lương làm căn cứ đóng bảo hiểm xã hội, bảo hiểm y tế và bảo hiểm thất nghiệp được xác định theo Điều 89 Luật BHXH 2014, Điều 21 Nghị định 145/2020/NĐ-CP và Điều 17 Thông tư 06/2021/TT-BLĐTBXH.</w:t>
        <w:br w:type="textWrapping"/>
        <w:t xml:space="preserve">2. Công ty khấu trừ và nộp thuế thu nhập cá nhân theo Luật Thuế TNCN hiện hành.</w:t>
      </w:r>
    </w:p>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VII. PHÚC LỢI VÀ CHÍNH SÁCH KHÁC</w:t>
      </w:r>
    </w:p>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Nhân viên được hưởng đầy đủ các chế độ nghỉ phép, nghỉ lễ, trợ cấp ốm đau, thai sản theo Bộ luật Lao động 2019.</w:t>
        <w:br w:type="textWrapping"/>
        <w:t xml:space="preserve">2. Hỗ trợ đào tạo, nâng cao chuyên môn định kỳ hàng năm.</w:t>
        <w:br w:type="textWrapping"/>
        <w:t xml:space="preserve">3. Thưởng lễ, Tết và phúc lợi khác theo chính sách chung của Công ty.</w:t>
      </w:r>
    </w:p>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VIII. HIỆU LỰC THI HÀNH</w:t>
      </w:r>
    </w:p>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Quy chế này có hiệu lực kể từ ngày ký. Phòng Hành chính – Nhân sự, Bộ phận Kế toán và các cá nhân liên quan có trách nhiệm thực hiện nghiêm túc. Các quy định trước đây trái với quy chế này đều bãi bỏ.</w:t>
      </w:r>
    </w:p>
    <w:p w:rsidR="00000000" w:rsidDel="00000000" w:rsidP="00000000" w:rsidRDefault="00000000" w:rsidRPr="00000000" w14:paraId="0000004D">
      <w:pPr>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ĐẠI DIỆN CÔNG TY</w:t>
      </w:r>
    </w:p>
    <w:p w:rsidR="00000000" w:rsidDel="00000000" w:rsidP="00000000" w:rsidRDefault="00000000" w:rsidRPr="00000000" w14:paraId="0000004E">
      <w:pPr>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GIÁM ĐỐC</w:t>
      </w:r>
    </w:p>
    <w:p w:rsidR="00000000" w:rsidDel="00000000" w:rsidP="00000000" w:rsidRDefault="00000000" w:rsidRPr="00000000" w14:paraId="0000004F">
      <w:pPr>
        <w:jc w:val="righ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(Ký, ghi rõ họ tên, đóng dấu)</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